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4406900" cy="3733800"/>
            <wp:effectExtent b="0" l="0" r="0" t="0"/>
            <wp:docPr descr=":::Downloads:Crest Test 2.JPG" id="1" name="image1.jpg"/>
            <a:graphic>
              <a:graphicData uri="http://schemas.openxmlformats.org/drawingml/2006/picture">
                <pic:pic>
                  <pic:nvPicPr>
                    <pic:cNvPr descr=":::Downloads:Crest Test 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Curriculum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Ballyfeeney NS is dependent on the Department of Education and Skills for grants and teacher resources and our school operates within regulations laid down by the DES.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Primary School Curriculum, Department of Education and Skills (1999), informs all aspects of teaching and learning in our school.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Curriculum is presented in seven areas.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Language: Gaeilge and English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Mathematics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Social, environmental and scientific education (SESE): History, Geography and Science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Arts Education: Visual Arts, Music and Drama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Physical Education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Social, Personal and Health Education (SPHE)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As a school with a Catholic ethos the Grow in Love Religious Education Programme is taught. Roman Catholic pupils are prepared for the sacraments of First Confession, First Holy Communion and Confirmation.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First Holy Communion is celebrated in Kilglass Church and Confirmation is celebrated with pupils from neighbouring schools in one of our local parish churches.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